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F5028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F5028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F5028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F50284">
        <w:rPr>
          <w:rFonts w:ascii="ＭＳ ゴシック" w:eastAsia="ＭＳ ゴシック" w:hAnsi="ＭＳ ゴシック" w:cs="Times New Roman" w:hint="eastAsia"/>
          <w:sz w:val="22"/>
          <w:szCs w:val="22"/>
        </w:rPr>
        <w:t>佐賀県地域事務局長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</w:t>
      </w:r>
      <w:bookmarkStart w:id="0" w:name="_GoBack"/>
      <w:bookmarkEnd w:id="0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0284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AA94-8974-4568-AB1A-B8138DF5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2019-02-19T00:41:00Z</dcterms:modified>
</cp:coreProperties>
</file>